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${</w:t>
      </w:r>
      <w:r>
        <w:rPr>
          <w:b/>
          <w:bCs/>
          <w:lang w:eastAsia="zh-CN"/>
        </w:rPr>
        <w:t>ramo.etiqueta1}</w:t>
      </w:r>
      <w:r>
        <w:rPr>
          <w:lang w:eastAsia="zh-CN"/>
        </w:rPr>
        <w:br w:type="textWrapping"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 w:type="textWrapping"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>
      <w:pPr>
        <w:jc w:val="both"/>
        <w:rPr>
          <w:b/>
          <w:bCs/>
          <w:lang w:eastAsia="zh-CN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${cliente.nombre}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${cliente.rut}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${cliente.direccion}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${cliente.ciudad}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${cliente.telefono}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${cliente.</w:t>
            </w:r>
            <w:r>
              <w:rPr>
                <w:rFonts w:hint="default"/>
                <w:lang w:val="en-US" w:eastAsia="zh-CN"/>
              </w:rPr>
              <w:t>email</w:t>
            </w:r>
            <w:r>
              <w:rPr>
                <w:lang w:eastAsia="zh-CN"/>
              </w:rPr>
              <w:t>}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${cliente.nombre}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${cliente.rut}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${cliente.direccion}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${cliente.comuna}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${cliente.ciudad}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${cliente.telefono}</w:t>
            </w:r>
          </w:p>
        </w:tc>
      </w:tr>
    </w:tbl>
    <w:p>
      <w:pPr>
        <w:spacing w:line="240" w:lineRule="auto"/>
        <w:jc w:val="both"/>
        <w:rPr>
          <w:lang w:eastAsia="zh-CN"/>
        </w:rPr>
      </w:pP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line="240" w:lineRule="auto"/>
        <w:jc w:val="both"/>
        <w:rPr>
          <w:lang w:eastAsia="zh-CN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</w:r>
      <w:r>
        <w:rPr>
          <w:lang w:eastAsia="zh-CN"/>
        </w:rPr>
        <w:t>${poliza.vigencia.inicio}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${poliza.vigencia.termino}</w:t>
      </w: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7"/>
        <w:tblW w:w="5527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417"/>
        <w:gridCol w:w="21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right"/>
        </w:trPr>
        <w:tc>
          <w:tcPr>
            <w:tcW w:w="1984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${coberturas.monto}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${coberturas.afecta}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right"/>
        </w:trPr>
        <w:tc>
          <w:tcPr>
            <w:tcW w:w="1984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${coberturas.exenta}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${coberturas.total-iva}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${coberturas.total}</w:t>
            </w:r>
          </w:p>
        </w:tc>
      </w:tr>
    </w:tbl>
    <w:p>
      <w:pPr>
        <w:spacing w:line="240" w:lineRule="auto"/>
        <w:jc w:val="both"/>
        <w:rPr>
          <w:b/>
          <w:bCs/>
          <w:lang w:eastAsia="zh-CN"/>
        </w:rPr>
      </w:pPr>
    </w:p>
    <w:p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COBERTURA</w:t>
      </w:r>
    </w:p>
    <w:p>
      <w:pPr>
        <w:spacing w:line="240" w:lineRule="auto"/>
        <w:jc w:val="both"/>
      </w:pPr>
      <w:r>
        <w:rPr>
          <w:rFonts w:ascii="Calibri" w:hAnsi="Calibri" w:eastAsia="Times New Roman" w:cs="Calibri"/>
          <w:b/>
          <w:color w:val="000000"/>
          <w:lang w:eastAsia="es-CL"/>
        </w:rPr>
        <w:t>Daños Materiales (</w:t>
      </w:r>
      <w:r>
        <w:rPr>
          <w:b/>
        </w:rPr>
        <w:t xml:space="preserve">POL 1 2013 0214) </w:t>
      </w:r>
      <w:r>
        <w:t>La presente póliza se rige por la modalidad de aseguramiento comercial, donde la suma asegurada será equivalente al valor comercial del vehículo asegurado al momento del siniestro. Cobertura incluidas:</w:t>
      </w:r>
    </w:p>
    <w:p>
      <w:pPr>
        <w:pStyle w:val="8"/>
        <w:numPr>
          <w:ilvl w:val="0"/>
          <w:numId w:val="1"/>
        </w:numPr>
        <w:spacing w:after="0" w:line="240" w:lineRule="auto"/>
        <w:jc w:val="both"/>
      </w:pPr>
      <w:r>
        <w:t>Daños materiales a causa de volcamiento o colisión accidental con objetos en movimiento o estacionarios, incendio, rayo o explosión, tanto si el vehículo se haya estacionado como en movimiento.</w:t>
      </w:r>
    </w:p>
    <w:p>
      <w:pPr>
        <w:pStyle w:val="8"/>
        <w:numPr>
          <w:ilvl w:val="0"/>
          <w:numId w:val="1"/>
        </w:numPr>
        <w:spacing w:after="0" w:line="240" w:lineRule="auto"/>
        <w:jc w:val="both"/>
      </w:pPr>
      <w:r>
        <w:t>Robo o hurto de piezas o partes del vehículo asegurado;</w:t>
      </w:r>
    </w:p>
    <w:p>
      <w:pPr>
        <w:pStyle w:val="8"/>
        <w:numPr>
          <w:ilvl w:val="0"/>
          <w:numId w:val="1"/>
        </w:numPr>
        <w:spacing w:after="0" w:line="240" w:lineRule="auto"/>
        <w:jc w:val="both"/>
      </w:pPr>
      <w:r>
        <w:t>Los daños causados por la perpetración de dichos delitos, en cualquiera de sus grados, de consumado, frustrado o tentativa; y</w:t>
      </w:r>
    </w:p>
    <w:p>
      <w:pPr>
        <w:pStyle w:val="8"/>
        <w:numPr>
          <w:ilvl w:val="0"/>
          <w:numId w:val="1"/>
        </w:numPr>
        <w:spacing w:after="0" w:line="240" w:lineRule="auto"/>
        <w:jc w:val="both"/>
      </w:pPr>
      <w:r>
        <w:t>Los daños que se produzcan al vehículo durante el tiempo que, como consecuencia de robo, hurto o uso no autorizado.</w:t>
      </w:r>
    </w:p>
    <w:p>
      <w:pPr>
        <w:spacing w:line="240" w:lineRule="auto"/>
        <w:jc w:val="both"/>
        <w:rPr>
          <w:rFonts w:ascii="Calibri" w:hAnsi="Calibri" w:eastAsia="Times New Roman" w:cs="Calibri"/>
          <w:color w:val="000000"/>
          <w:lang w:eastAsia="es-CL"/>
        </w:rPr>
      </w:pPr>
      <w:r>
        <w:rPr>
          <w:rFonts w:ascii="Calibri" w:hAnsi="Calibri"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ascii="Calibri" w:hAnsi="Calibri" w:eastAsia="Times New Roman" w:cs="Calibri"/>
          <w:bCs/>
          <w:color w:val="000000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>
        <w:rPr>
          <w:rFonts w:ascii="Calibri" w:hAnsi="Calibri" w:eastAsia="Times New Roman" w:cs="Calibri"/>
          <w:color w:val="000000"/>
          <w:lang w:eastAsia="es-CL"/>
        </w:rPr>
        <w:t>límite único y combinado para las tres subsecciones: Daño Emergente, Daño Moral, Lucro Cesante.-</w:t>
      </w:r>
    </w:p>
    <w:p>
      <w:pPr>
        <w:spacing w:line="240" w:lineRule="auto"/>
        <w:jc w:val="both"/>
        <w:rPr>
          <w:rFonts w:ascii="Calibri" w:hAnsi="Calibri" w:eastAsia="Times New Roman" w:cs="Calibri"/>
          <w:b/>
          <w:bCs/>
          <w:color w:val="000000"/>
          <w:lang w:eastAsia="es-CL"/>
        </w:rPr>
      </w:pPr>
      <w:r>
        <w:rPr>
          <w:rFonts w:ascii="Calibri" w:hAnsi="Calibri" w:eastAsia="Times New Roman" w:cs="Calibri"/>
          <w:b/>
          <w:bCs/>
          <w:color w:val="000000"/>
          <w:lang w:eastAsia="es-CL"/>
        </w:rPr>
        <w:t>Asistencia en Ruta</w:t>
      </w:r>
    </w:p>
    <w:p>
      <w:pPr>
        <w:spacing w:line="240" w:lineRule="auto"/>
        <w:jc w:val="both"/>
        <w:rPr>
          <w:b/>
          <w:bCs/>
          <w:lang w:eastAsia="zh-CN"/>
        </w:rPr>
      </w:pPr>
    </w:p>
    <w:p>
      <w:pPr>
        <w:spacing w:line="240" w:lineRule="auto"/>
        <w:jc w:val="both"/>
        <w:rPr>
          <w:lang w:eastAsia="zh-CN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>
      <w:pPr>
        <w:spacing w:line="240" w:lineRule="auto"/>
        <w:ind w:firstLine="700"/>
        <w:jc w:val="both"/>
      </w:pPr>
      <w:r>
        <w:t>${poliza.items.cantidad} ITEM(S) SEGUN DETALLE</w:t>
      </w:r>
    </w:p>
    <w:tbl>
      <w:tblPr>
        <w:tblStyle w:val="7"/>
        <w:tblW w:w="10248" w:type="dxa"/>
        <w:tblInd w:w="-7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64"/>
        <w:gridCol w:w="6832"/>
        <w:gridCol w:w="1000"/>
        <w:gridCol w:w="728"/>
        <w:gridCol w:w="743"/>
        <w:gridCol w:w="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64" w:type="dxa"/>
          </w:tcPr>
          <w:p>
            <w:pPr>
              <w:rPr>
                <w:sz w:val="18"/>
                <w:szCs w:val="18"/>
                <w:vertAlign w:val="baseline"/>
              </w:rPr>
            </w:pPr>
          </w:p>
        </w:tc>
        <w:tc>
          <w:tcPr>
            <w:tcW w:w="6832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Detalle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Da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ños Materiales</w:t>
            </w:r>
          </w:p>
        </w:tc>
        <w:tc>
          <w:tcPr>
            <w:tcW w:w="728" w:type="dxa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Resp. Civil</w:t>
            </w: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Deduc.</w:t>
            </w: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Prima Neta</w:t>
            </w:r>
          </w:p>
        </w:tc>
      </w:tr>
    </w:tbl>
    <w:p>
      <w:pPr>
        <w:rPr>
          <w:rFonts w:hint="default"/>
          <w:lang w:val="en-US"/>
        </w:rPr>
      </w:pPr>
      <w:r>
        <w:rPr>
          <w:rFonts w:hint="default"/>
          <w:lang w:val="en-US"/>
        </w:rPr>
        <w:t>${items}</w:t>
      </w:r>
    </w:p>
    <w:tbl>
      <w:tblPr>
        <w:tblStyle w:val="7"/>
        <w:tblW w:w="102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$</w:t>
            </w: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{item}</w:t>
            </w:r>
          </w:p>
        </w:tc>
        <w:tc>
          <w:tcPr>
            <w:tcW w:w="1630" w:type="dxa"/>
            <w:gridSpan w:val="2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Tipo de Veh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ículo</w:t>
            </w:r>
          </w:p>
        </w:tc>
        <w:tc>
          <w:tcPr>
            <w:tcW w:w="5195" w:type="dxa"/>
            <w:gridSpan w:val="4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${item.columna2.valor}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${coberturas.monto</w:t>
            </w: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}</w:t>
            </w: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${coberturas.total}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07" w:hRule="atLeast"/>
        </w:trPr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Patente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${item.columna1.valor}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Marca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${item.columna3.valor}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Modelo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${item.columna6.valor}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Año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${item.columna5.valor}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Chasis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${item.columna7.valor}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Motor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${item.columna4.valor}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</w:tbl>
    <w:p>
      <w:pPr>
        <w:rPr>
          <w:rFonts w:hint="default"/>
          <w:lang w:val="en-US"/>
        </w:rPr>
      </w:pPr>
      <w:r>
        <w:rPr>
          <w:rFonts w:hint="default"/>
          <w:lang w:val="en-US"/>
        </w:rPr>
        <w:t>${/items}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br w:type="page"/>
      </w:r>
    </w:p>
    <w:p>
      <w:pPr>
        <w:rPr>
          <w:rFonts w:hint="default"/>
          <w:lang w:val="en-US"/>
        </w:rPr>
      </w:pPr>
    </w:p>
    <w:p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MODO DE PAGO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tabs>
                <w:tab w:val="left" w:pos="1470"/>
              </w:tabs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>
      <w:pPr>
        <w:rPr>
          <w:rFonts w:hint="default"/>
          <w:b/>
          <w:bCs/>
          <w:lang w:val="en-US"/>
        </w:rPr>
      </w:pPr>
    </w:p>
    <w:p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Plan de Pago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1105"/>
        <w:gridCol w:w="1474"/>
        <w:gridCol w:w="22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105" w:type="dxa"/>
          </w:tcPr>
          <w:p>
            <w:pPr>
              <w:rPr>
                <w:rFonts w:hint="default"/>
                <w:b/>
                <w:bCs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vertAlign w:val="baseline"/>
                <w:lang w:val="en-US"/>
              </w:rPr>
              <w:t>Cuota</w:t>
            </w:r>
          </w:p>
        </w:tc>
        <w:tc>
          <w:tcPr>
            <w:tcW w:w="1474" w:type="dxa"/>
          </w:tcPr>
          <w:p>
            <w:pPr>
              <w:rPr>
                <w:rFonts w:hint="default"/>
                <w:b/>
                <w:bCs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vertAlign w:val="baseline"/>
                <w:lang w:val="en-US"/>
              </w:rPr>
              <w:t>Valor</w:t>
            </w:r>
          </w:p>
        </w:tc>
        <w:tc>
          <w:tcPr>
            <w:tcW w:w="2267" w:type="dxa"/>
          </w:tcPr>
          <w:p>
            <w:pPr>
              <w:rPr>
                <w:rFonts w:hint="default"/>
                <w:b/>
                <w:bCs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vertAlign w:val="baseline"/>
                <w:lang w:val="en-US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105" w:type="dxa"/>
          </w:tcPr>
          <w:p>
            <w:pPr>
              <w:rPr>
                <w:rFonts w:hint="default"/>
                <w:b/>
                <w:bCs/>
                <w:vertAlign w:val="baseline"/>
                <w:lang w:val="en-US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n-US"/>
              </w:rPr>
              <w:t>${cuota}</w:t>
            </w:r>
          </w:p>
        </w:tc>
        <w:tc>
          <w:tcPr>
            <w:tcW w:w="1474" w:type="dxa"/>
          </w:tcPr>
          <w:p>
            <w:pPr>
              <w:rPr>
                <w:rFonts w:hint="default"/>
                <w:b w:val="0"/>
                <w:bCs w:val="0"/>
                <w:vertAlign w:val="baseline"/>
                <w:lang w:val="en-US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n-US"/>
              </w:rPr>
              <w:t>${cuota.valor}</w:t>
            </w:r>
          </w:p>
        </w:tc>
        <w:tc>
          <w:tcPr>
            <w:tcW w:w="2267" w:type="dxa"/>
          </w:tcPr>
          <w:p>
            <w:pPr>
              <w:rPr>
                <w:rFonts w:hint="default"/>
                <w:b w:val="0"/>
                <w:bCs w:val="0"/>
                <w:vertAlign w:val="baseline"/>
                <w:lang w:val="en-US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n-US"/>
              </w:rPr>
              <w:t>${cuota.vencimiento}</w:t>
            </w:r>
          </w:p>
        </w:tc>
      </w:tr>
    </w:tbl>
    <w:p>
      <w:pPr>
        <w:rPr>
          <w:rFonts w:hint="default"/>
          <w:b/>
          <w:bCs/>
          <w:lang w:val="en-US"/>
        </w:rPr>
      </w:pPr>
    </w:p>
    <w:p>
      <w:pPr>
        <w:jc w:val="right"/>
        <w:rPr>
          <w:rFonts w:hint="default"/>
          <w:b/>
          <w:bCs/>
          <w:lang w:val="en-US"/>
        </w:rPr>
      </w:pPr>
      <w:bookmarkStart w:id="2" w:name="_GoBack"/>
      <w:r>
        <w:rPr>
          <w:rFonts w:ascii="Calibri" w:hAnsi="Calibri" w:eastAsia="Times New Roman" w:cs="Times New Roman"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12700" b="12700"/>
            <wp:wrapTopAndBottom/>
            <wp:docPr id="1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 Imagen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4928235" y="245745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2"/>
    </w:p>
    <w:p>
      <w:pPr>
        <w:jc w:val="right"/>
        <w:rPr>
          <w:rFonts w:hint="default"/>
          <w:b/>
          <w:bCs/>
          <w:lang w:val="en-US"/>
        </w:rPr>
      </w:pPr>
    </w:p>
    <w:sectPr>
      <w:headerReference r:id="rId3" w:type="default"/>
      <w:footerReference r:id="rId4" w:type="default"/>
      <w:pgSz w:w="12191" w:h="15819"/>
      <w:pgMar w:top="1440" w:right="1800" w:bottom="1440" w:left="1800" w:header="720" w:footer="720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ED7D31" w:sz="4" w:space="1"/>
      </w:pBdr>
      <w:jc w:val="center"/>
      <w:rPr>
        <w:sz w:val="20"/>
        <w:szCs w:val="20"/>
      </w:rPr>
    </w:pPr>
    <w:bookmarkStart w:id="0" w:name="_Hlk44022864"/>
    <w:bookmarkStart w:id="1" w:name="_Hlk44022863"/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/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hint="default"/>
                              <w:lang w:val="en-US"/>
                            </w:rPr>
                            <w:t>de</w:t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s0lY7tAAAAAFAQAADwAAAAAAAAABACAAAAAiAAAAZHJzL2Rvd25y&#10;ZXYueG1sUEsBAhQAFAAAAAgAh07iQI2wos+xAgAA1QUAAA4AAAAAAAAAAQAgAAAAHwEAAGRycy9l&#10;Mm9Eb2MueG1sUEsFBgAAAAAGAAYAWQEAAEI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/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rFonts w:hint="default"/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5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inline distT="0" distB="0" distL="114300" distR="114300">
          <wp:extent cx="1533525" cy="574675"/>
          <wp:effectExtent l="0" t="0" r="5715" b="4445"/>
          <wp:docPr id="2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A63ED"/>
    <w:multiLevelType w:val="multilevel"/>
    <w:tmpl w:val="7FFA63E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60239"/>
    <w:rsid w:val="02A31035"/>
    <w:rsid w:val="09CF3DBD"/>
    <w:rsid w:val="0A5F5B9E"/>
    <w:rsid w:val="0D89226E"/>
    <w:rsid w:val="0F9958DE"/>
    <w:rsid w:val="1807021D"/>
    <w:rsid w:val="183E0B57"/>
    <w:rsid w:val="221F65AD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604796F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59" w:lineRule="auto"/>
    </w:pPr>
    <w:rPr>
      <w:rFonts w:ascii="Calibri" w:hAnsi="Calibri" w:eastAsia="Calibri" w:cs="Times New Roman"/>
      <w:sz w:val="22"/>
      <w:szCs w:val="22"/>
      <w:lang w:val="es-CL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563C1"/>
      <w:u w:val="single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spacing w:after="160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2020-12-16T18:50:00Z</dcterms:created>
  <dc:creator>felip</dc:creator>
  <cp:lastModifiedBy>Felipe Yáñez</cp:lastModifiedBy>
  <dcterms:modified xsi:type="dcterms:W3CDTF">2020-12-16T19:33:37Z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