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Solicitud de Endoso</w:t>
      </w:r>
    </w:p>
    <w:p>
      <w:pPr>
        <w:spacing w:after="0" w:line="240" w:lineRule="auto"/>
        <w:jc w:val="both"/>
        <w:rPr>
          <w:rFonts w:hint="default"/>
          <w:lang w:val="en-US"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lang w:eastAsia="zh-CN"/>
        </w:rPr>
        <w:t>Fecha:</w:t>
      </w:r>
      <w:r>
        <w:rPr>
          <w:rFonts w:hint="default"/>
          <w:lang w:val="en-US" w:eastAsia="zh-CN"/>
        </w:rPr>
        <w:t xml:space="preserve"> (endoso_fecha)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Póliza N°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</w:t>
      </w:r>
      <w:r>
        <w:rPr>
          <w:b/>
          <w:bCs/>
          <w:lang w:eastAsia="zh-CN"/>
        </w:rPr>
        <w:t xml:space="preserve">AP45268</w:t>
      </w:r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/>
      </w: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:</w:t>
      </w:r>
      <w:r>
        <w:rPr>
          <w:rFonts w:hint="default"/>
          <w:b/>
          <w:bCs/>
          <w:lang w:val="en-US" w:eastAsia="zh-CN"/>
        </w:rPr>
        <w:t xml:space="preserve"> BCI Seguros Generales S.A</w:t>
      </w:r>
      <w:bookmarkStart w:id="4" w:name="_GoBack"/>
      <w:bookmarkEnd w:id="4"/>
      <w:r>
        <w:rPr>
          <w:rFonts w:hint="default"/>
          <w:b/>
          <w:bCs/>
          <w:lang w:val="en-US" w:eastAsia="zh-CN"/>
        </w:rPr>
        <w:t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4447"/>
        <w:gridCol w:w="1035"/>
        <w:gridCol w:w="220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José Lino Castro y Cia. Ltda.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7.715.650-7</w:t>
            </w:r>
            <w:r>
              <w:rPr>
                <w:rFonts w:hint="default"/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>:</w:t>
            </w:r>
            <w:r>
              <w:rPr>
                <w:rFonts w:hint="default"/>
                <w:lang w:val="en-US" w:eastAsia="zh-CN"/>
              </w:rPr>
              <w:t xml:space="preserve"> </w:t>
            </w:r>
            <w:r>
              <w:t xml:space="preserve">Psj. Eugenio Guerra 1336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953394558</w:t>
            </w:r>
            <w:r>
              <w:rPr>
                <w:rFonts w:hint="default"/>
                <w:lang w:val="en-US"/>
              </w:rPr>
              <w:t/>
            </w:r>
            <w:r>
              <w:t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" w:hRule="atLeast"/>
        </w:trPr>
        <w:tc>
          <w:tcPr>
            <w:tcW w:w="1130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>
            <w:pPr>
              <w:widowControl w:val="0"/>
              <w:spacing w:after="0" w:line="240" w:lineRule="auto"/>
              <w:jc w:val="both"/>
              <w:rPr>
                <w:rFonts w:hint="default"/>
                <w:lang w:val="en-US" w:eastAsia="zh-CN"/>
              </w:rPr>
            </w:pPr>
            <w:r>
              <w:rPr>
                <w:lang w:eastAsia="zh-CN"/>
              </w:rPr>
              <w:t xml:space="preserve">: </w:t>
            </w:r>
            <w:r>
              <w:rPr>
                <w:rFonts w:hint="default"/>
                <w:lang w:val="en-US" w:eastAsia="zh-CN"/>
              </w:rPr>
              <w:t>(cliente_email)</w:t>
            </w:r>
          </w:p>
        </w:tc>
        <w:tc>
          <w:tcPr>
            <w:tcW w:w="1035" w:type="dxa"/>
          </w:tcPr>
          <w:p>
            <w:pPr>
              <w:widowControl w:val="0"/>
              <w:spacing w:after="0" w:line="240" w:lineRule="auto"/>
              <w:jc w:val="both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>
            <w:pPr>
              <w:widowControl w:val="0"/>
              <w:spacing w:after="0" w:line="240" w:lineRule="auto"/>
              <w:jc w:val="both"/>
              <w:rPr>
                <w:lang w:eastAsia="zh-CN"/>
              </w:rPr>
            </w:pPr>
          </w:p>
        </w:tc>
      </w:tr>
    </w:tbl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>
      <w:pPr>
        <w:spacing w:after="0"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</w:r>
      <w:r>
        <w:rPr>
          <w:lang w:eastAsia="zh-CN"/>
        </w:rPr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</w:r>
      <w:r>
        <w:rPr>
          <w:lang w:eastAsia="zh-CN"/>
        </w:rPr>
        <w:t>: 9.197.967-5</w:t>
      </w:r>
    </w:p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jc w:val="both"/>
      </w:pPr>
      <w:r>
        <w:rPr>
          <w:b/>
          <w:bCs/>
        </w:rPr>
        <w:t xml:space="preserve">TIPO </w:t>
      </w:r>
      <w:r>
        <w:tab/>
      </w:r>
      <w:r>
        <w:t xml:space="preserve">: </w:t>
      </w:r>
      <w:r>
        <w:tab/>
      </w:r>
      <w:r>
        <w:t xml:space="preserve">Cancelar Cobertura</w:t>
      </w:r>
      <w:r>
        <w:rPr>
          <w:rFonts w:hint="default"/>
          <w:lang w:val="en-US"/>
        </w:rPr>
        <w:t/>
      </w:r>
      <w:r>
        <w:t/>
      </w:r>
    </w:p>
    <w:p>
      <w:pPr>
        <w:spacing w:after="0" w:line="240" w:lineRule="auto"/>
        <w:jc w:val="both"/>
      </w:pPr>
    </w:p>
    <w:p>
      <w:pPr>
        <w:spacing w:line="240" w:lineRule="auto"/>
        <w:jc w:val="both"/>
        <w:rPr>
          <w:lang w:eastAsia="zh-CN"/>
        </w:rPr>
      </w:pPr>
      <w:r>
        <w:t xml:space="preserve">Mediante el presente endoso se solicita Cancelar Cobertura</w:t>
      </w:r>
      <w:r>
        <w:rPr>
          <w:rFonts w:hint="default"/>
          <w:lang w:val="en-US"/>
        </w:rPr>
        <w:t/>
      </w:r>
      <w:r>
        <w:t xml:space="preserve"> el(los) siguiente(s) ítem(s)</w:t>
      </w:r>
      <w:bookmarkStart w:id="0" w:name="_Hlk55303532"/>
      <w:r>
        <w:rPr>
          <w:lang w:eastAsia="zh-CN"/>
        </w:rPr>
        <w:t xml:space="preserve"> </w:t>
      </w:r>
    </w:p>
    <w:tbl>
      <w:tblPr>
        <w:tblStyle w:val="7"/>
        <w:tblW w:w="584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6"/>
        <w:gridCol w:w="7125"/>
        <w:gridCol w:w="901"/>
        <w:gridCol w:w="758"/>
        <w:gridCol w:w="758"/>
        <w:gridCol w:w="7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135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36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Detalle</w:t>
            </w:r>
          </w:p>
        </w:tc>
        <w:tc>
          <w:tcPr>
            <w:tcW w:w="426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58" w:type="pct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>Prima Neta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135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  <w:lang w:eastAsia="zh-CN"/>
              </w:rPr>
            </w:pPr>
          </w:p>
        </w:tc>
        <w:tc>
          <w:tcPr>
            <w:tcW w:w="3365" w:type="pct"/>
            <w:tcBorders>
              <w:top w:val="single" w:color="auto" w:sz="4" w:space="0"/>
              <w:left w:val="nil"/>
              <w:bottom w:val="nil"/>
              <w:right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2"/>
                <w:szCs w:val="2"/>
              </w:rPr>
            </w:pPr>
          </w:p>
        </w:tc>
        <w:tc>
          <w:tcPr>
            <w:tcW w:w="426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tbl>
      <w:tblPr>
        <w:tblStyle w:val="7"/>
        <w:tblW w:w="581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3"/>
        <w:gridCol w:w="873"/>
        <w:gridCol w:w="878"/>
        <w:gridCol w:w="230"/>
        <w:gridCol w:w="502"/>
        <w:gridCol w:w="1909"/>
        <w:gridCol w:w="874"/>
        <w:gridCol w:w="1771"/>
        <w:gridCol w:w="910"/>
        <w:gridCol w:w="765"/>
        <w:gridCol w:w="765"/>
        <w:gridCol w:w="7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  <w:jc w:val="center"/>
        </w:trPr>
        <w:tc>
          <w:tcPr>
            <w:tcW w:w="139" w:type="pct"/>
            <w:vMerge w:val="restart"/>
            <w:vAlign w:val="center"/>
          </w:tcPr>
          <w:p>
            <w:pPr>
              <w:widowControl w:val="0"/>
              <w:spacing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 xml:space="preserve">1</w:t>
            </w:r>
          </w:p>
        </w:tc>
        <w:tc>
          <w:tcPr>
            <w:tcW w:w="968" w:type="pct"/>
            <w:gridSpan w:val="3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Tipo de Vehículo</w:t>
            </w:r>
          </w:p>
        </w:tc>
        <w:tc>
          <w:tcPr>
            <w:tcW w:w="2373" w:type="pct"/>
            <w:gridSpan w:val="4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3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restart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0,00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139" w:type="pct"/>
            <w:vMerge w:val="continue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Patente</w:t>
            </w:r>
          </w:p>
        </w:tc>
        <w:tc>
          <w:tcPr>
            <w:tcW w:w="417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33454204-1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Marca</w:t>
            </w:r>
          </w:p>
        </w:tc>
        <w:tc>
          <w:tcPr>
            <w:tcW w:w="906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</w:tcPr>
          <w:p>
            <w:pPr>
              <w:widowControl w:val="0"/>
              <w:spacing w:line="240" w:lineRule="auto"/>
              <w:jc w:val="both"/>
              <w:rPr>
                <w:rFonts w:hint="default"/>
                <w:sz w:val="18"/>
                <w:szCs w:val="18"/>
                <w:lang w:val="en-US"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Modelo</w:t>
            </w:r>
          </w:p>
        </w:tc>
        <w:tc>
          <w:tcPr>
            <w:tcW w:w="841" w:type="pct"/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Chofer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nil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  <w:jc w:val="center"/>
        </w:trPr>
        <w:tc>
          <w:tcPr>
            <w:tcW w:w="139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414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Año</w:t>
            </w:r>
          </w:p>
        </w:tc>
        <w:tc>
          <w:tcPr>
            <w:tcW w:w="417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Fanor Chávez Cuellar</w:t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348" w:type="pct"/>
            <w:gridSpan w:val="2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Chasis</w:t>
            </w:r>
          </w:p>
        </w:tc>
        <w:tc>
          <w:tcPr>
            <w:tcW w:w="906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15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 xml:space="preserve">Motor</w:t>
            </w:r>
          </w:p>
        </w:tc>
        <w:tc>
          <w:tcPr>
            <w:tcW w:w="841" w:type="pct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  <w:r>
              <w:rPr>
                <w:rFonts w:hint="default"/>
                <w:sz w:val="18"/>
                <w:szCs w:val="18"/>
                <w:lang w:val="en-US" w:eastAsia="zh-CN"/>
              </w:rPr>
              <w:t/>
            </w:r>
            <w:r>
              <w:rPr>
                <w:sz w:val="18"/>
                <w:szCs w:val="18"/>
                <w:lang w:eastAsia="zh-CN"/>
              </w:rPr>
              <w:t/>
            </w:r>
          </w:p>
        </w:tc>
        <w:tc>
          <w:tcPr>
            <w:tcW w:w="432" w:type="pct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3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sz w:val="18"/>
                <w:szCs w:val="18"/>
                <w:lang w:eastAsia="zh-CN"/>
              </w:rPr>
            </w:pPr>
          </w:p>
        </w:tc>
        <w:tc>
          <w:tcPr>
            <w:tcW w:w="362" w:type="pct"/>
            <w:vMerge w:val="continue"/>
            <w:tcBorders>
              <w:bottom w:val="single" w:color="auto" w:sz="4" w:space="0"/>
            </w:tcBorders>
          </w:tcPr>
          <w:p>
            <w:pPr>
              <w:widowControl w:val="0"/>
              <w:spacing w:line="240" w:lineRule="auto"/>
              <w:jc w:val="both"/>
              <w:rPr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widowControl w:val="0"/>
              <w:spacing w:line="240" w:lineRule="auto"/>
              <w:jc w:val="center"/>
              <w:rPr>
                <w:sz w:val="2"/>
                <w:szCs w:val="2"/>
                <w:lang w:eastAsia="zh-CN"/>
              </w:rPr>
            </w:pPr>
          </w:p>
        </w:tc>
      </w:tr>
    </w:tbl>
    <w:p>
      <w:pPr>
        <w:rPr>
          <w:b/>
          <w:bCs/>
          <w:lang w:eastAsia="zh-CN"/>
        </w:rPr>
      </w:pPr>
      <w:r>
        <w:rPr>
          <w:lang w:eastAsia="zh-CN"/>
        </w:rPr>
        <w:t/>
      </w:r>
    </w:p>
    <w:bookmarkEnd w:id="0"/>
    <w:p>
      <w:pPr>
        <w:spacing w:after="0" w:line="240" w:lineRule="auto"/>
        <w:jc w:val="both"/>
        <w:rPr>
          <w:lang w:eastAsia="zh-CN"/>
        </w:rPr>
      </w:pPr>
    </w:p>
    <w:p>
      <w:pPr>
        <w:spacing w:after="0" w:line="240" w:lineRule="auto"/>
        <w:rPr>
          <w:lang w:eastAsia="zh-CN"/>
        </w:rPr>
      </w:pPr>
      <w:bookmarkStart w:id="1" w:name="_Hlk44027472"/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 xml:space="preserve">Monto Asegurado </w:t>
      </w:r>
      <w:r>
        <w:rPr>
          <w:b/>
          <w:bCs/>
          <w:lang w:eastAsia="zh-CN"/>
        </w:rPr>
        <w:tab/>
      </w:r>
      <w:r>
        <w:rPr>
          <w:lang w:eastAsia="zh-CN"/>
        </w:rPr>
        <w:t xml:space="preserve">undefined </w:t>
      </w:r>
      <w:r>
        <w:rPr>
          <w:lang w:eastAsia="zh-CN"/>
        </w:rPr>
        <w:tab/>
      </w:r>
      <w:r>
        <w:rPr>
          <w:lang w:eastAsia="zh-CN"/>
        </w:rPr>
        <w:t xml:space="preserve">1.000,00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Neta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Afecta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Exenta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I.V.A.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p>
      <w:pPr>
        <w:spacing w:after="0" w:line="240" w:lineRule="auto"/>
        <w:rPr>
          <w:lang w:eastAsia="zh-CN"/>
        </w:rPr>
      </w:pPr>
      <w:r>
        <w:rPr>
          <w:b/>
          <w:bCs/>
          <w:lang w:eastAsia="zh-CN"/>
        </w:rPr>
        <w:tab/>
      </w:r>
      <w:r>
        <w:rPr>
          <w:b/>
          <w:bCs/>
          <w:lang w:eastAsia="zh-CN"/>
        </w:rPr>
        <w:t>PRIMA TOTAL</w:t>
      </w:r>
      <w:r>
        <w:rPr>
          <w:b/>
          <w:bCs/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 xml:space="preserve">undefined</w:t>
      </w:r>
      <w:r>
        <w:rPr>
          <w:lang w:eastAsia="zh-CN"/>
        </w:rPr>
        <w:tab/>
      </w:r>
      <w:r>
        <w:rPr>
          <w:lang w:eastAsia="zh-CN"/>
        </w:rPr>
        <w:t xml:space="preserve">0,00</w:t>
      </w:r>
      <w:r>
        <w:rPr>
          <w:rFonts w:hint="default"/>
          <w:lang w:val="en-US" w:eastAsia="zh-CN"/>
        </w:rPr>
        <w:t/>
      </w:r>
      <w:r>
        <w:rPr>
          <w:lang w:eastAsia="zh-CN"/>
        </w:rPr>
        <w:t/>
      </w:r>
    </w:p>
    <w:bookmarkEnd w:id="1"/>
    <w:p>
      <w:pPr>
        <w:spacing w:after="0" w:line="240" w:lineRule="auto"/>
        <w:jc w:val="right"/>
        <w:rPr>
          <w:lang w:eastAsia="zh-CN"/>
        </w:rPr>
      </w:pPr>
    </w:p>
    <w:p>
      <w:pPr>
        <w:spacing w:after="0"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Con la emisión del presente endoso, no se obtiene cobertura alguna al riesgo que se procura asegurar. La cobertura comienza a regir únicamente a partir del momento en que esta sea aceptada por el asegurador y se inicie la vigencia de la póliza.</w:t>
      </w:r>
    </w:p>
    <w:sectPr>
      <w:headerReference r:id="rId5" w:type="default"/>
      <w:footerReference r:id="rId6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top w:val="single" w:color="ED7D31" w:themeColor="accent2" w:sz="4" w:space="1"/>
      </w:pBdr>
      <w:jc w:val="center"/>
      <w:rPr>
        <w:sz w:val="20"/>
        <w:szCs w:val="20"/>
      </w:rPr>
    </w:pPr>
    <w:bookmarkStart w:id="2" w:name="_Hlk44022863"/>
    <w:bookmarkStart w:id="3" w:name="_Hlk44022864"/>
    <w:r>
      <w:rPr>
        <w:b/>
        <w:bCs/>
        <w:sz w:val="32"/>
        <w:szCs w:val="3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-1257935</wp:posOffset>
          </wp:positionV>
          <wp:extent cx="1558925" cy="1409065"/>
          <wp:effectExtent l="0" t="0" r="381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8636" cy="1409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4"/>
      </w:rPr>
      <w:t>www.BrunaSeguros.cl</w:t>
    </w:r>
    <w:r>
      <w:rPr>
        <w:rStyle w:val="4"/>
      </w:rPr>
      <w:fldChar w:fldCharType="end"/>
    </w:r>
    <w:r>
      <w:t xml:space="preserve"> - Manuel Rodriguez 380, oficina 1, Arica - +56 9 78096380 </w:t>
    </w:r>
    <w:r>
      <w:rPr>
        <w:sz w:val="20"/>
        <w:szCs w:val="20"/>
      </w:rPr>
      <w:t>(whatsapp)</w:t>
    </w:r>
    <w:bookmarkEnd w:id="2"/>
    <w:bookmarkEnd w:id="3"/>
    <w:r>
      <w:rPr>
        <w:sz w:val="20"/>
        <w:szCs w:val="20"/>
      </w:rPr>
      <w:t xml:space="preserve"> </w:t>
    </w:r>
  </w:p>
  <w:p>
    <w:pPr>
      <w:pStyle w:val="6"/>
      <w:pBdr>
        <w:top w:val="single" w:color="ED7D31" w:themeColor="accent2" w:sz="4" w:space="1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b/>
        <w:bCs/>
      </w:rPr>
    </w:pPr>
    <w:r>
      <w:drawing>
        <wp:inline distT="0" distB="0" distL="0" distR="0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25697"/>
    <w:rsid w:val="00157C9E"/>
    <w:rsid w:val="00183278"/>
    <w:rsid w:val="001C5737"/>
    <w:rsid w:val="00232705"/>
    <w:rsid w:val="0024136A"/>
    <w:rsid w:val="00296ACD"/>
    <w:rsid w:val="003C1CA6"/>
    <w:rsid w:val="004651D2"/>
    <w:rsid w:val="00471682"/>
    <w:rsid w:val="004A0E0D"/>
    <w:rsid w:val="005B5BE0"/>
    <w:rsid w:val="005B6F37"/>
    <w:rsid w:val="005C7D3F"/>
    <w:rsid w:val="005F7928"/>
    <w:rsid w:val="007C4D66"/>
    <w:rsid w:val="007D62B1"/>
    <w:rsid w:val="00805A95"/>
    <w:rsid w:val="00827D33"/>
    <w:rsid w:val="00927AB1"/>
    <w:rsid w:val="00960883"/>
    <w:rsid w:val="00997C5D"/>
    <w:rsid w:val="00A1754F"/>
    <w:rsid w:val="00A64185"/>
    <w:rsid w:val="00B31100"/>
    <w:rsid w:val="00C251B0"/>
    <w:rsid w:val="00DE0CA2"/>
    <w:rsid w:val="00E40188"/>
    <w:rsid w:val="00E4413F"/>
    <w:rsid w:val="00E8143C"/>
    <w:rsid w:val="00EE3131"/>
    <w:rsid w:val="00EF388B"/>
    <w:rsid w:val="00F33ECB"/>
    <w:rsid w:val="032445EE"/>
    <w:rsid w:val="03BE0E31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header"/>
    <w:basedOn w:val="1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footer"/>
    <w:basedOn w:val="1"/>
    <w:link w:val="8"/>
    <w:unhideWhenUsed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Pie de página Car"/>
    <w:basedOn w:val="2"/>
    <w:link w:val="6"/>
    <w:uiPriority w:val="99"/>
    <w:rPr>
      <w:rFonts w:asciiTheme="minorHAnsi" w:hAnsiTheme="minorHAnsi" w:eastAsiaTheme="minorHAnsi" w:cstheme="minorBidi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993</Characters>
  <Lines>8</Lines>
  <Paragraphs>2</Paragraphs>
  <TotalTime>2</TotalTime>
  <ScaleCrop>false</ScaleCrop>
  <LinksUpToDate>false</LinksUpToDate>
  <CharactersWithSpaces>1171</CharactersWithSpaces>
  <Application>WPS Office_11.2.0.9937_F1E327BC-269C-435d-A152-05C5408002CA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2020-06-21T06:44:00Z</dcterms:created>
  <dc:creator>Felipe Yáñez Pérez</dc:creator>
  <cp:lastModifiedBy>Felipe Yáñez</cp:lastModifiedBy>
  <dcterms:modified xsi:type="dcterms:W3CDTF">2021-01-11T13:31:14Z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